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78" w:rsidRPr="00394EE6" w:rsidRDefault="00E85727" w:rsidP="00B3719A">
      <w:pPr>
        <w:pStyle w:val="berschrift2"/>
        <w:spacing w:before="0"/>
        <w:jc w:val="center"/>
        <w:rPr>
          <w:rFonts w:asciiTheme="minorHAnsi" w:hAnsiTheme="minorHAnsi"/>
          <w:sz w:val="20"/>
          <w:szCs w:val="20"/>
        </w:rPr>
      </w:pPr>
      <w:r>
        <w:fldChar w:fldCharType="begin"/>
      </w:r>
      <w:r w:rsidR="00347A69">
        <w:instrText>HYPERLINK "http://dejure.org/gesetze/EGBGB"</w:instrText>
      </w:r>
      <w:r>
        <w:fldChar w:fldCharType="separate"/>
      </w:r>
      <w:r w:rsidR="00982478" w:rsidRPr="00394EE6">
        <w:rPr>
          <w:rStyle w:val="Hyperlink"/>
          <w:rFonts w:asciiTheme="minorHAnsi" w:hAnsiTheme="minorHAnsi"/>
          <w:sz w:val="20"/>
          <w:szCs w:val="20"/>
        </w:rPr>
        <w:t>Einführungsgesetz BGB</w:t>
      </w:r>
      <w:r>
        <w:fldChar w:fldCharType="end"/>
      </w:r>
    </w:p>
    <w:tbl>
      <w:tblPr>
        <w:tblW w:w="0" w:type="auto"/>
        <w:jc w:val="center"/>
        <w:tblCellSpacing w:w="15" w:type="dxa"/>
        <w:tblCellMar>
          <w:top w:w="15" w:type="dxa"/>
          <w:left w:w="15" w:type="dxa"/>
          <w:bottom w:w="15" w:type="dxa"/>
          <w:right w:w="15" w:type="dxa"/>
        </w:tblCellMar>
        <w:tblLook w:val="04A0"/>
      </w:tblPr>
      <w:tblGrid>
        <w:gridCol w:w="81"/>
        <w:gridCol w:w="81"/>
      </w:tblGrid>
      <w:tr w:rsidR="00982478" w:rsidRPr="00394EE6" w:rsidTr="00FE40F9">
        <w:trPr>
          <w:tblCellSpacing w:w="15" w:type="dxa"/>
          <w:jc w:val="center"/>
        </w:trPr>
        <w:tc>
          <w:tcPr>
            <w:tcW w:w="0" w:type="auto"/>
            <w:vAlign w:val="center"/>
            <w:hideMark/>
          </w:tcPr>
          <w:p w:rsidR="00982478" w:rsidRPr="00394EE6" w:rsidRDefault="00982478" w:rsidP="00B3719A">
            <w:pPr>
              <w:jc w:val="center"/>
              <w:rPr>
                <w:sz w:val="20"/>
                <w:szCs w:val="20"/>
              </w:rPr>
            </w:pPr>
          </w:p>
        </w:tc>
        <w:tc>
          <w:tcPr>
            <w:tcW w:w="0" w:type="auto"/>
            <w:vAlign w:val="center"/>
            <w:hideMark/>
          </w:tcPr>
          <w:p w:rsidR="00982478" w:rsidRPr="00394EE6" w:rsidRDefault="00982478" w:rsidP="00B3719A">
            <w:pPr>
              <w:jc w:val="center"/>
              <w:rPr>
                <w:sz w:val="20"/>
                <w:szCs w:val="20"/>
              </w:rPr>
            </w:pPr>
          </w:p>
        </w:tc>
      </w:tr>
    </w:tbl>
    <w:p w:rsidR="00982478" w:rsidRPr="00394EE6" w:rsidRDefault="00982478" w:rsidP="00B3719A">
      <w:pPr>
        <w:pStyle w:val="berschrift3"/>
        <w:spacing w:before="0"/>
        <w:jc w:val="center"/>
        <w:rPr>
          <w:rFonts w:asciiTheme="minorHAnsi" w:hAnsiTheme="minorHAnsi"/>
          <w:sz w:val="20"/>
          <w:szCs w:val="20"/>
        </w:rPr>
      </w:pPr>
      <w:r w:rsidRPr="00394EE6">
        <w:rPr>
          <w:rFonts w:asciiTheme="minorHAnsi" w:hAnsiTheme="minorHAnsi"/>
          <w:sz w:val="20"/>
          <w:szCs w:val="20"/>
        </w:rPr>
        <w:t>Artikel 50</w:t>
      </w:r>
    </w:p>
    <w:p w:rsidR="00982478" w:rsidRDefault="00982478" w:rsidP="00B3719A">
      <w:pPr>
        <w:pStyle w:val="StandardWeb"/>
        <w:spacing w:before="0" w:beforeAutospacing="0" w:after="0" w:afterAutospacing="0"/>
        <w:rPr>
          <w:rFonts w:asciiTheme="minorHAnsi" w:hAnsiTheme="minorHAnsi"/>
          <w:sz w:val="20"/>
          <w:szCs w:val="20"/>
        </w:rPr>
      </w:pPr>
      <w:r w:rsidRPr="00DE7513">
        <w:rPr>
          <w:rFonts w:asciiTheme="minorHAnsi" w:hAnsiTheme="minorHAnsi"/>
          <w:color w:val="FF0000"/>
          <w:sz w:val="20"/>
          <w:szCs w:val="20"/>
        </w:rPr>
        <w:t xml:space="preserve">Die Vorschriften der </w:t>
      </w:r>
      <w:r w:rsidRPr="00DE7513">
        <w:rPr>
          <w:rFonts w:asciiTheme="minorHAnsi" w:hAnsiTheme="minorHAnsi"/>
          <w:b/>
          <w:color w:val="FF0000"/>
          <w:sz w:val="20"/>
          <w:szCs w:val="20"/>
        </w:rPr>
        <w:t xml:space="preserve">Reichsgesetze </w:t>
      </w:r>
      <w:r w:rsidRPr="00DE7513">
        <w:rPr>
          <w:rFonts w:asciiTheme="minorHAnsi" w:hAnsiTheme="minorHAnsi"/>
          <w:color w:val="FF0000"/>
          <w:sz w:val="20"/>
          <w:szCs w:val="20"/>
        </w:rPr>
        <w:t>bleiben in Kraft</w:t>
      </w:r>
      <w:r w:rsidRPr="00394EE6">
        <w:rPr>
          <w:rFonts w:asciiTheme="minorHAnsi" w:hAnsiTheme="minorHAnsi"/>
          <w:sz w:val="20"/>
          <w:szCs w:val="20"/>
        </w:rPr>
        <w:t>. Sie treten jedoch insoweit außer Kraft, als sich aus dem Bürgerlichen Gesetzbuch oder aus diesem Gesetz die Aufhebung ergibt.</w:t>
      </w:r>
    </w:p>
    <w:p w:rsidR="00B3719A" w:rsidRDefault="00B3719A" w:rsidP="00B3719A">
      <w:pPr>
        <w:pStyle w:val="StandardWeb"/>
        <w:spacing w:before="0" w:beforeAutospacing="0" w:after="0" w:afterAutospacing="0"/>
        <w:rPr>
          <w:rFonts w:asciiTheme="minorHAnsi" w:hAnsiTheme="minorHAnsi"/>
          <w:sz w:val="20"/>
          <w:szCs w:val="20"/>
        </w:rPr>
      </w:pPr>
    </w:p>
    <w:p w:rsidR="00982478" w:rsidRPr="00394EE6" w:rsidRDefault="00E85727" w:rsidP="00B3719A">
      <w:pPr>
        <w:pStyle w:val="berschrift2"/>
        <w:spacing w:before="0"/>
        <w:jc w:val="center"/>
        <w:rPr>
          <w:rFonts w:asciiTheme="minorHAnsi" w:hAnsiTheme="minorHAnsi"/>
          <w:sz w:val="20"/>
          <w:szCs w:val="20"/>
        </w:rPr>
      </w:pPr>
      <w:hyperlink r:id="rId5" w:history="1">
        <w:r w:rsidR="00982478" w:rsidRPr="00394EE6">
          <w:rPr>
            <w:rStyle w:val="Hyperlink"/>
            <w:rFonts w:asciiTheme="minorHAnsi" w:hAnsiTheme="minorHAnsi"/>
            <w:sz w:val="20"/>
            <w:szCs w:val="20"/>
          </w:rPr>
          <w:t>Einführungsgesetz BGB</w:t>
        </w:r>
      </w:hyperlink>
    </w:p>
    <w:p w:rsidR="00982478" w:rsidRPr="00394EE6" w:rsidRDefault="00982478" w:rsidP="00B3719A">
      <w:pPr>
        <w:pStyle w:val="berschrift3"/>
        <w:spacing w:before="0"/>
        <w:jc w:val="center"/>
        <w:rPr>
          <w:rFonts w:asciiTheme="minorHAnsi" w:hAnsiTheme="minorHAnsi"/>
          <w:sz w:val="20"/>
          <w:szCs w:val="20"/>
        </w:rPr>
      </w:pPr>
      <w:r w:rsidRPr="00394EE6">
        <w:rPr>
          <w:rFonts w:asciiTheme="minorHAnsi" w:hAnsiTheme="minorHAnsi"/>
          <w:sz w:val="20"/>
          <w:szCs w:val="20"/>
        </w:rPr>
        <w:t>Artikel 5</w:t>
      </w:r>
      <w:r w:rsidR="00B3719A">
        <w:rPr>
          <w:rFonts w:asciiTheme="minorHAnsi" w:hAnsiTheme="minorHAnsi"/>
          <w:sz w:val="20"/>
          <w:szCs w:val="20"/>
        </w:rPr>
        <w:t xml:space="preserve"> - </w:t>
      </w:r>
      <w:r w:rsidRPr="00394EE6">
        <w:rPr>
          <w:rFonts w:asciiTheme="minorHAnsi" w:hAnsiTheme="minorHAnsi"/>
          <w:sz w:val="20"/>
          <w:szCs w:val="20"/>
        </w:rPr>
        <w:t>Personalstatut</w:t>
      </w:r>
    </w:p>
    <w:p w:rsidR="00982478" w:rsidRDefault="00982478" w:rsidP="00B3719A">
      <w:pPr>
        <w:pStyle w:val="StandardWeb"/>
        <w:numPr>
          <w:ilvl w:val="0"/>
          <w:numId w:val="1"/>
        </w:numPr>
        <w:spacing w:before="0" w:beforeAutospacing="0" w:after="0" w:afterAutospacing="0"/>
        <w:rPr>
          <w:rFonts w:asciiTheme="minorHAnsi" w:hAnsiTheme="minorHAnsi"/>
          <w:b/>
          <w:color w:val="FF0000"/>
          <w:sz w:val="20"/>
          <w:szCs w:val="20"/>
        </w:rPr>
      </w:pPr>
      <w:r w:rsidRPr="00394EE6">
        <w:rPr>
          <w:rFonts w:asciiTheme="minorHAnsi" w:hAnsiTheme="minorHAnsi"/>
          <w:color w:val="FF0000"/>
          <w:sz w:val="20"/>
          <w:szCs w:val="20"/>
        </w:rPr>
        <w:t xml:space="preserve">Wird auf das Recht des Staates verwiesen, dem eine Person angehört, und gehört sie mehreren Staaten an, so ist das Recht desjenigen dieser Staaten anzuwenden, mit dem die Person am engsten verbunden ist, insbesondere durch ihren gewöhnlichen Aufenthalt oder durch den Verlauf ihres Lebens. </w:t>
      </w:r>
      <w:r w:rsidRPr="007C04C4">
        <w:rPr>
          <w:rFonts w:asciiTheme="minorHAnsi" w:hAnsiTheme="minorHAnsi"/>
          <w:b/>
          <w:color w:val="FF0000"/>
          <w:sz w:val="20"/>
          <w:szCs w:val="20"/>
        </w:rPr>
        <w:t>Ist die Person auch Deutscher, so geht diese Rechtsstellung vor.</w:t>
      </w:r>
    </w:p>
    <w:p w:rsidR="006C39E3" w:rsidRDefault="006C39E3" w:rsidP="00B3719A">
      <w:pPr>
        <w:pStyle w:val="berschrift2"/>
        <w:spacing w:before="0"/>
        <w:jc w:val="center"/>
      </w:pPr>
    </w:p>
    <w:p w:rsidR="00982478" w:rsidRPr="00394EE6" w:rsidRDefault="00E85727" w:rsidP="00B3719A">
      <w:pPr>
        <w:pStyle w:val="berschrift2"/>
        <w:spacing w:before="0"/>
        <w:jc w:val="center"/>
        <w:rPr>
          <w:rFonts w:asciiTheme="minorHAnsi" w:hAnsiTheme="minorHAnsi"/>
          <w:sz w:val="20"/>
          <w:szCs w:val="20"/>
        </w:rPr>
      </w:pPr>
      <w:r>
        <w:fldChar w:fldCharType="begin"/>
      </w:r>
      <w:r>
        <w:instrText>HYPERLINK "http://dejure.org/gesetze/EGBGB"</w:instrText>
      </w:r>
      <w:r>
        <w:fldChar w:fldCharType="separate"/>
      </w:r>
      <w:r w:rsidR="00982478" w:rsidRPr="00394EE6">
        <w:rPr>
          <w:rStyle w:val="Hyperlink"/>
          <w:rFonts w:asciiTheme="minorHAnsi" w:hAnsiTheme="minorHAnsi"/>
          <w:sz w:val="20"/>
          <w:szCs w:val="20"/>
        </w:rPr>
        <w:t>Einführungsgesetz BGB</w:t>
      </w:r>
      <w:r>
        <w:fldChar w:fldCharType="end"/>
      </w:r>
    </w:p>
    <w:p w:rsidR="00982478" w:rsidRPr="00394EE6" w:rsidRDefault="00982478" w:rsidP="00B3719A">
      <w:pPr>
        <w:pStyle w:val="berschrift3"/>
        <w:spacing w:before="0"/>
        <w:jc w:val="center"/>
        <w:rPr>
          <w:rFonts w:asciiTheme="minorHAnsi" w:hAnsiTheme="minorHAnsi"/>
          <w:sz w:val="20"/>
          <w:szCs w:val="20"/>
        </w:rPr>
      </w:pPr>
      <w:r w:rsidRPr="00394EE6">
        <w:rPr>
          <w:rFonts w:asciiTheme="minorHAnsi" w:hAnsiTheme="minorHAnsi"/>
          <w:sz w:val="20"/>
          <w:szCs w:val="20"/>
        </w:rPr>
        <w:t>Artikel 6</w:t>
      </w:r>
      <w:r w:rsidR="00B3719A">
        <w:rPr>
          <w:rFonts w:asciiTheme="minorHAnsi" w:hAnsiTheme="minorHAnsi"/>
          <w:sz w:val="20"/>
          <w:szCs w:val="20"/>
        </w:rPr>
        <w:t xml:space="preserve"> - </w:t>
      </w:r>
      <w:r w:rsidRPr="00394EE6">
        <w:rPr>
          <w:rFonts w:asciiTheme="minorHAnsi" w:hAnsiTheme="minorHAnsi"/>
          <w:sz w:val="20"/>
          <w:szCs w:val="20"/>
        </w:rPr>
        <w:t xml:space="preserve">Öffentliche Ordnung (ordre </w:t>
      </w:r>
      <w:proofErr w:type="spellStart"/>
      <w:r w:rsidRPr="00394EE6">
        <w:rPr>
          <w:rFonts w:asciiTheme="minorHAnsi" w:hAnsiTheme="minorHAnsi"/>
          <w:sz w:val="20"/>
          <w:szCs w:val="20"/>
        </w:rPr>
        <w:t>public</w:t>
      </w:r>
      <w:proofErr w:type="spellEnd"/>
      <w:r w:rsidRPr="00394EE6">
        <w:rPr>
          <w:rFonts w:asciiTheme="minorHAnsi" w:hAnsiTheme="minorHAnsi"/>
          <w:sz w:val="20"/>
          <w:szCs w:val="20"/>
        </w:rPr>
        <w:t>)</w:t>
      </w:r>
    </w:p>
    <w:p w:rsidR="00982478" w:rsidRDefault="00982478" w:rsidP="00B3719A">
      <w:pPr>
        <w:pStyle w:val="StandardWeb"/>
        <w:spacing w:before="0" w:beforeAutospacing="0" w:after="0" w:afterAutospacing="0"/>
        <w:rPr>
          <w:rFonts w:asciiTheme="minorHAnsi" w:hAnsiTheme="minorHAnsi"/>
          <w:color w:val="FF0000"/>
          <w:sz w:val="20"/>
          <w:szCs w:val="20"/>
        </w:rPr>
      </w:pPr>
      <w:r w:rsidRPr="0036627D">
        <w:rPr>
          <w:rFonts w:asciiTheme="minorHAnsi" w:hAnsiTheme="minorHAnsi"/>
          <w:color w:val="FF0000"/>
          <w:sz w:val="20"/>
          <w:szCs w:val="20"/>
        </w:rPr>
        <w:t>Eine Rechtsnorm eines anderen Staates ist nicht anzuwenden, wenn ihre Anwendung zu einem Ergebnis führt, das mit wesentlichen Grundsätzen des deutschen Rechts offensichtlich unvereinbar ist. Sie ist insbesondere nicht anzuwenden, wenn die Anwendung mit den Grundrechten unvereinbar ist.</w:t>
      </w:r>
    </w:p>
    <w:p w:rsidR="006C39E3" w:rsidRPr="0036627D" w:rsidRDefault="006C39E3" w:rsidP="00B3719A">
      <w:pPr>
        <w:pStyle w:val="StandardWeb"/>
        <w:spacing w:before="0" w:beforeAutospacing="0" w:after="0" w:afterAutospacing="0"/>
        <w:rPr>
          <w:rFonts w:asciiTheme="minorHAnsi" w:hAnsiTheme="minorHAnsi"/>
          <w:color w:val="FF0000"/>
          <w:sz w:val="20"/>
          <w:szCs w:val="20"/>
        </w:rPr>
      </w:pPr>
    </w:p>
    <w:p w:rsidR="00090DCA" w:rsidRPr="00394EE6" w:rsidRDefault="00E85727" w:rsidP="00B3719A">
      <w:pPr>
        <w:pStyle w:val="berschrift2"/>
        <w:spacing w:before="0"/>
        <w:jc w:val="center"/>
        <w:rPr>
          <w:rFonts w:asciiTheme="minorHAnsi" w:hAnsiTheme="minorHAnsi"/>
          <w:sz w:val="20"/>
          <w:szCs w:val="20"/>
        </w:rPr>
      </w:pPr>
      <w:hyperlink r:id="rId6" w:history="1">
        <w:r w:rsidR="00090DCA" w:rsidRPr="00394EE6">
          <w:rPr>
            <w:rStyle w:val="Hyperlink"/>
            <w:rFonts w:asciiTheme="minorHAnsi" w:hAnsiTheme="minorHAnsi"/>
            <w:sz w:val="20"/>
            <w:szCs w:val="20"/>
          </w:rPr>
          <w:t>Einführungsgesetz BGB</w:t>
        </w:r>
      </w:hyperlink>
    </w:p>
    <w:p w:rsidR="00185108" w:rsidRPr="00185108" w:rsidRDefault="00185108" w:rsidP="00B3719A">
      <w:pPr>
        <w:pStyle w:val="berschrift3"/>
        <w:spacing w:before="0"/>
        <w:jc w:val="center"/>
        <w:rPr>
          <w:rFonts w:asciiTheme="minorHAnsi" w:hAnsiTheme="minorHAnsi"/>
        </w:rPr>
      </w:pPr>
      <w:r w:rsidRPr="00185108">
        <w:rPr>
          <w:rFonts w:asciiTheme="minorHAnsi" w:hAnsiTheme="minorHAnsi"/>
        </w:rPr>
        <w:t>Artikel 10</w:t>
      </w:r>
      <w:r w:rsidR="00B3719A">
        <w:rPr>
          <w:rFonts w:asciiTheme="minorHAnsi" w:hAnsiTheme="minorHAnsi"/>
        </w:rPr>
        <w:t xml:space="preserve"> - </w:t>
      </w:r>
      <w:r w:rsidRPr="00185108">
        <w:rPr>
          <w:rFonts w:asciiTheme="minorHAnsi" w:hAnsiTheme="minorHAnsi"/>
        </w:rPr>
        <w:t>Name</w:t>
      </w:r>
    </w:p>
    <w:p w:rsidR="00185108" w:rsidRDefault="00185108" w:rsidP="00B3719A">
      <w:pPr>
        <w:pStyle w:val="StandardWeb"/>
        <w:numPr>
          <w:ilvl w:val="0"/>
          <w:numId w:val="2"/>
        </w:numPr>
        <w:spacing w:before="0" w:beforeAutospacing="0" w:after="0" w:afterAutospacing="0"/>
        <w:rPr>
          <w:rFonts w:asciiTheme="minorHAnsi" w:hAnsiTheme="minorHAnsi"/>
          <w:sz w:val="20"/>
          <w:szCs w:val="20"/>
        </w:rPr>
      </w:pPr>
      <w:r w:rsidRPr="00185108">
        <w:rPr>
          <w:rFonts w:asciiTheme="minorHAnsi" w:hAnsiTheme="minorHAnsi"/>
          <w:sz w:val="20"/>
          <w:szCs w:val="20"/>
        </w:rPr>
        <w:t xml:space="preserve">Der </w:t>
      </w:r>
      <w:r w:rsidRPr="00185108">
        <w:rPr>
          <w:rFonts w:asciiTheme="minorHAnsi" w:hAnsiTheme="minorHAnsi"/>
          <w:color w:val="FF0000"/>
          <w:sz w:val="20"/>
          <w:szCs w:val="20"/>
        </w:rPr>
        <w:t>Name</w:t>
      </w:r>
      <w:r w:rsidRPr="00185108">
        <w:rPr>
          <w:rFonts w:asciiTheme="minorHAnsi" w:hAnsiTheme="minorHAnsi"/>
          <w:sz w:val="20"/>
          <w:szCs w:val="20"/>
        </w:rPr>
        <w:t xml:space="preserve"> einer </w:t>
      </w:r>
      <w:r w:rsidRPr="00185108">
        <w:rPr>
          <w:rFonts w:asciiTheme="minorHAnsi" w:hAnsiTheme="minorHAnsi"/>
          <w:color w:val="FF0000"/>
          <w:sz w:val="20"/>
          <w:szCs w:val="20"/>
        </w:rPr>
        <w:t>Person</w:t>
      </w:r>
      <w:r w:rsidRPr="00185108">
        <w:rPr>
          <w:rFonts w:asciiTheme="minorHAnsi" w:hAnsiTheme="minorHAnsi"/>
          <w:sz w:val="20"/>
          <w:szCs w:val="20"/>
        </w:rPr>
        <w:t xml:space="preserve"> unterliegt dem Recht des Staates, dem die Person </w:t>
      </w:r>
      <w:r w:rsidRPr="00185108">
        <w:rPr>
          <w:rFonts w:asciiTheme="minorHAnsi" w:hAnsiTheme="minorHAnsi"/>
          <w:color w:val="FF0000"/>
          <w:sz w:val="20"/>
          <w:szCs w:val="20"/>
        </w:rPr>
        <w:t>angehört</w:t>
      </w:r>
      <w:r w:rsidRPr="00185108">
        <w:rPr>
          <w:rFonts w:asciiTheme="minorHAnsi" w:hAnsiTheme="minorHAnsi"/>
          <w:sz w:val="20"/>
          <w:szCs w:val="20"/>
        </w:rPr>
        <w:t>.</w:t>
      </w:r>
    </w:p>
    <w:p w:rsidR="00B3719A" w:rsidRPr="00185108" w:rsidRDefault="00B3719A" w:rsidP="00B3719A">
      <w:pPr>
        <w:pStyle w:val="StandardWeb"/>
        <w:spacing w:before="0" w:beforeAutospacing="0" w:after="0" w:afterAutospacing="0"/>
        <w:ind w:left="720"/>
        <w:rPr>
          <w:rFonts w:asciiTheme="minorHAnsi" w:hAnsiTheme="minorHAnsi"/>
          <w:sz w:val="20"/>
          <w:szCs w:val="20"/>
        </w:rPr>
      </w:pPr>
    </w:p>
    <w:p w:rsidR="00982478" w:rsidRPr="00982478" w:rsidRDefault="00E85727" w:rsidP="00B3719A">
      <w:pPr>
        <w:pStyle w:val="berschrift2"/>
        <w:spacing w:before="0"/>
        <w:jc w:val="center"/>
        <w:rPr>
          <w:rFonts w:asciiTheme="minorHAnsi" w:hAnsiTheme="minorHAnsi"/>
          <w:sz w:val="20"/>
          <w:szCs w:val="20"/>
        </w:rPr>
      </w:pPr>
      <w:hyperlink r:id="rId7" w:history="1">
        <w:r w:rsidR="00982478" w:rsidRPr="00982478">
          <w:rPr>
            <w:rStyle w:val="Hyperlink"/>
            <w:rFonts w:asciiTheme="minorHAnsi" w:hAnsiTheme="minorHAnsi"/>
            <w:sz w:val="20"/>
            <w:szCs w:val="20"/>
          </w:rPr>
          <w:t>Grundgesetz</w:t>
        </w:r>
      </w:hyperlink>
    </w:p>
    <w:p w:rsidR="00982478" w:rsidRPr="00982478" w:rsidRDefault="00982478" w:rsidP="00B3719A">
      <w:pPr>
        <w:pStyle w:val="berschrift3"/>
        <w:spacing w:before="0"/>
        <w:jc w:val="center"/>
        <w:rPr>
          <w:rFonts w:asciiTheme="minorHAnsi" w:hAnsiTheme="minorHAnsi"/>
          <w:sz w:val="20"/>
          <w:szCs w:val="20"/>
        </w:rPr>
      </w:pPr>
      <w:r w:rsidRPr="00982478">
        <w:rPr>
          <w:rFonts w:asciiTheme="minorHAnsi" w:hAnsiTheme="minorHAnsi"/>
          <w:sz w:val="20"/>
          <w:szCs w:val="20"/>
        </w:rPr>
        <w:t>Artikel 25</w:t>
      </w:r>
    </w:p>
    <w:p w:rsidR="00982478" w:rsidRDefault="00982478" w:rsidP="00B3719A">
      <w:pPr>
        <w:pStyle w:val="StandardWeb"/>
        <w:spacing w:before="0" w:beforeAutospacing="0" w:after="0" w:afterAutospacing="0"/>
        <w:rPr>
          <w:rFonts w:asciiTheme="minorHAnsi" w:hAnsiTheme="minorHAnsi"/>
          <w:sz w:val="20"/>
          <w:szCs w:val="20"/>
        </w:rPr>
      </w:pPr>
      <w:r w:rsidRPr="00982478">
        <w:rPr>
          <w:rFonts w:asciiTheme="minorHAnsi" w:hAnsiTheme="minorHAnsi"/>
          <w:sz w:val="20"/>
          <w:szCs w:val="20"/>
        </w:rPr>
        <w:t xml:space="preserve">Die allgemeinen Regeln des </w:t>
      </w:r>
      <w:r w:rsidRPr="00982478">
        <w:rPr>
          <w:rFonts w:asciiTheme="minorHAnsi" w:hAnsiTheme="minorHAnsi"/>
          <w:b/>
          <w:color w:val="FF0000"/>
          <w:sz w:val="20"/>
          <w:szCs w:val="20"/>
        </w:rPr>
        <w:t>Völkerrechtes sind Bestandteil des Bundesrechtes</w:t>
      </w:r>
      <w:r w:rsidRPr="00982478">
        <w:rPr>
          <w:rFonts w:asciiTheme="minorHAnsi" w:hAnsiTheme="minorHAnsi"/>
          <w:sz w:val="20"/>
          <w:szCs w:val="20"/>
        </w:rPr>
        <w:t>. Sie gehen den Gesetzen vor und erzeugen Rechte und Pflichten unmittelbar für die Bewohner des Bundesgebietes.</w:t>
      </w:r>
    </w:p>
    <w:p w:rsidR="00B3719A" w:rsidRPr="00982478" w:rsidRDefault="00B3719A" w:rsidP="00B3719A">
      <w:pPr>
        <w:pStyle w:val="StandardWeb"/>
        <w:spacing w:before="0" w:beforeAutospacing="0" w:after="0" w:afterAutospacing="0"/>
        <w:rPr>
          <w:rFonts w:asciiTheme="minorHAnsi" w:hAnsiTheme="minorHAnsi"/>
          <w:sz w:val="20"/>
          <w:szCs w:val="20"/>
        </w:rPr>
      </w:pPr>
    </w:p>
    <w:p w:rsidR="00592997" w:rsidRPr="00592997" w:rsidRDefault="00592997" w:rsidP="00B3719A">
      <w:pPr>
        <w:pStyle w:val="berschrift2"/>
        <w:spacing w:before="0"/>
        <w:rPr>
          <w:rFonts w:asciiTheme="minorHAnsi" w:hAnsiTheme="minorHAnsi"/>
          <w:sz w:val="20"/>
          <w:szCs w:val="20"/>
        </w:rPr>
      </w:pPr>
      <w:r>
        <w:tab/>
      </w:r>
      <w:r>
        <w:tab/>
      </w:r>
      <w:r>
        <w:tab/>
      </w:r>
      <w:r w:rsidRPr="00592997">
        <w:rPr>
          <w:rFonts w:asciiTheme="minorHAnsi" w:hAnsiTheme="minorHAnsi"/>
          <w:sz w:val="20"/>
          <w:szCs w:val="20"/>
        </w:rPr>
        <w:tab/>
      </w:r>
      <w:r>
        <w:rPr>
          <w:rFonts w:asciiTheme="minorHAnsi" w:hAnsiTheme="minorHAnsi"/>
          <w:sz w:val="20"/>
          <w:szCs w:val="20"/>
        </w:rPr>
        <w:tab/>
      </w:r>
      <w:hyperlink r:id="rId8" w:history="1">
        <w:r w:rsidRPr="00592997">
          <w:rPr>
            <w:rStyle w:val="Hyperlink"/>
            <w:rFonts w:asciiTheme="minorHAnsi" w:hAnsiTheme="minorHAnsi"/>
            <w:sz w:val="20"/>
            <w:szCs w:val="20"/>
          </w:rPr>
          <w:t>Körperschaftsteuergesetz</w:t>
        </w:r>
      </w:hyperlink>
    </w:p>
    <w:tbl>
      <w:tblPr>
        <w:tblW w:w="0" w:type="auto"/>
        <w:jc w:val="center"/>
        <w:tblCellSpacing w:w="15" w:type="dxa"/>
        <w:tblCellMar>
          <w:top w:w="15" w:type="dxa"/>
          <w:left w:w="15" w:type="dxa"/>
          <w:bottom w:w="15" w:type="dxa"/>
          <w:right w:w="15" w:type="dxa"/>
        </w:tblCellMar>
        <w:tblLook w:val="04A0"/>
      </w:tblPr>
      <w:tblGrid>
        <w:gridCol w:w="211"/>
        <w:gridCol w:w="2809"/>
        <w:gridCol w:w="211"/>
      </w:tblGrid>
      <w:tr w:rsidR="00592997" w:rsidRPr="00592997" w:rsidTr="00592997">
        <w:trPr>
          <w:tblCellSpacing w:w="15" w:type="dxa"/>
          <w:jc w:val="center"/>
        </w:trPr>
        <w:tc>
          <w:tcPr>
            <w:tcW w:w="0" w:type="auto"/>
            <w:vAlign w:val="center"/>
            <w:hideMark/>
          </w:tcPr>
          <w:p w:rsidR="00592997" w:rsidRPr="00592997" w:rsidRDefault="00592997" w:rsidP="00B3719A">
            <w:pPr>
              <w:rPr>
                <w:rFonts w:asciiTheme="minorHAnsi" w:hAnsiTheme="minorHAnsi"/>
                <w:sz w:val="20"/>
                <w:szCs w:val="20"/>
              </w:rPr>
            </w:pPr>
            <w:r w:rsidRPr="00592997">
              <w:rPr>
                <w:rFonts w:asciiTheme="minorHAnsi" w:hAnsiTheme="minorHAnsi"/>
                <w:sz w:val="20"/>
                <w:szCs w:val="20"/>
              </w:rPr>
              <w:t>   </w:t>
            </w:r>
          </w:p>
        </w:tc>
        <w:tc>
          <w:tcPr>
            <w:tcW w:w="0" w:type="auto"/>
            <w:vAlign w:val="center"/>
            <w:hideMark/>
          </w:tcPr>
          <w:p w:rsidR="00592997" w:rsidRPr="00592997" w:rsidRDefault="00592997" w:rsidP="00B3719A">
            <w:pPr>
              <w:rPr>
                <w:rFonts w:asciiTheme="minorHAnsi" w:hAnsiTheme="minorHAnsi"/>
                <w:sz w:val="20"/>
                <w:szCs w:val="20"/>
              </w:rPr>
            </w:pPr>
            <w:r w:rsidRPr="00592997">
              <w:rPr>
                <w:rFonts w:asciiTheme="minorHAnsi" w:hAnsiTheme="minorHAnsi"/>
                <w:sz w:val="20"/>
                <w:szCs w:val="20"/>
              </w:rPr>
              <w:t xml:space="preserve">Erster Teil - Steuerpflicht (§§ </w:t>
            </w:r>
            <w:hyperlink r:id="rId9" w:history="1">
              <w:r w:rsidRPr="00592997">
                <w:rPr>
                  <w:rStyle w:val="Hyperlink"/>
                  <w:rFonts w:asciiTheme="minorHAnsi" w:eastAsiaTheme="majorEastAsia" w:hAnsiTheme="minorHAnsi"/>
                  <w:sz w:val="20"/>
                  <w:szCs w:val="20"/>
                </w:rPr>
                <w:t>1</w:t>
              </w:r>
            </w:hyperlink>
            <w:r w:rsidRPr="00592997">
              <w:rPr>
                <w:rFonts w:asciiTheme="minorHAnsi" w:hAnsiTheme="minorHAnsi"/>
                <w:sz w:val="20"/>
                <w:szCs w:val="20"/>
              </w:rPr>
              <w:t xml:space="preserve"> - </w:t>
            </w:r>
            <w:hyperlink r:id="rId10" w:history="1">
              <w:r w:rsidRPr="00592997">
                <w:rPr>
                  <w:rStyle w:val="Hyperlink"/>
                  <w:rFonts w:asciiTheme="minorHAnsi" w:eastAsiaTheme="majorEastAsia" w:hAnsiTheme="minorHAnsi"/>
                  <w:sz w:val="20"/>
                  <w:szCs w:val="20"/>
                </w:rPr>
                <w:t>6</w:t>
              </w:r>
            </w:hyperlink>
            <w:r w:rsidRPr="00592997">
              <w:rPr>
                <w:rFonts w:asciiTheme="minorHAnsi" w:hAnsiTheme="minorHAnsi"/>
                <w:sz w:val="20"/>
                <w:szCs w:val="20"/>
              </w:rPr>
              <w:t>)</w:t>
            </w:r>
          </w:p>
        </w:tc>
        <w:tc>
          <w:tcPr>
            <w:tcW w:w="0" w:type="auto"/>
            <w:vAlign w:val="center"/>
            <w:hideMark/>
          </w:tcPr>
          <w:p w:rsidR="00592997" w:rsidRPr="00592997" w:rsidRDefault="00592997" w:rsidP="00B3719A">
            <w:pPr>
              <w:rPr>
                <w:rFonts w:asciiTheme="minorHAnsi" w:hAnsiTheme="minorHAnsi"/>
                <w:sz w:val="20"/>
                <w:szCs w:val="20"/>
              </w:rPr>
            </w:pPr>
            <w:r w:rsidRPr="00592997">
              <w:rPr>
                <w:rFonts w:asciiTheme="minorHAnsi" w:hAnsiTheme="minorHAnsi"/>
                <w:sz w:val="20"/>
                <w:szCs w:val="20"/>
              </w:rPr>
              <w:t>   </w:t>
            </w:r>
          </w:p>
        </w:tc>
      </w:tr>
    </w:tbl>
    <w:p w:rsidR="00592997" w:rsidRPr="00592997" w:rsidRDefault="00592997" w:rsidP="00B3719A">
      <w:pPr>
        <w:pStyle w:val="berschrift3"/>
        <w:spacing w:before="0"/>
        <w:jc w:val="center"/>
        <w:rPr>
          <w:rFonts w:asciiTheme="minorHAnsi" w:hAnsiTheme="minorHAnsi"/>
          <w:sz w:val="20"/>
          <w:szCs w:val="20"/>
        </w:rPr>
      </w:pPr>
      <w:r w:rsidRPr="00592997">
        <w:rPr>
          <w:rFonts w:asciiTheme="minorHAnsi" w:hAnsiTheme="minorHAnsi"/>
          <w:sz w:val="20"/>
          <w:szCs w:val="20"/>
        </w:rPr>
        <w:t>§ 4</w:t>
      </w:r>
      <w:r w:rsidRPr="00592997">
        <w:rPr>
          <w:rFonts w:asciiTheme="minorHAnsi" w:hAnsiTheme="minorHAnsi"/>
          <w:sz w:val="20"/>
          <w:szCs w:val="20"/>
        </w:rPr>
        <w:br/>
        <w:t>Betriebe gewerblicher Art von juristischen Personen des öffentlichen Rechts</w:t>
      </w:r>
    </w:p>
    <w:p w:rsidR="00592997" w:rsidRPr="00592997" w:rsidRDefault="00592997" w:rsidP="00B3719A">
      <w:pPr>
        <w:pStyle w:val="StandardWeb"/>
        <w:spacing w:before="0" w:beforeAutospacing="0" w:after="0" w:afterAutospacing="0"/>
        <w:rPr>
          <w:rFonts w:asciiTheme="minorHAnsi" w:hAnsiTheme="minorHAnsi"/>
          <w:sz w:val="20"/>
          <w:szCs w:val="20"/>
        </w:rPr>
      </w:pPr>
      <w:r w:rsidRPr="00592997">
        <w:rPr>
          <w:rFonts w:asciiTheme="minorHAnsi" w:hAnsiTheme="minorHAnsi"/>
          <w:sz w:val="20"/>
          <w:szCs w:val="20"/>
        </w:rPr>
        <w:t xml:space="preserve"> (6) Ein Betrieb gewerblicher Art kann mit einem oder mehreren anderen Betrieben gewerblicher Art zusammengefasst werden, wenn</w:t>
      </w:r>
    </w:p>
    <w:tbl>
      <w:tblPr>
        <w:tblW w:w="0" w:type="auto"/>
        <w:tblCellSpacing w:w="15" w:type="dxa"/>
        <w:tblCellMar>
          <w:top w:w="15" w:type="dxa"/>
          <w:left w:w="15" w:type="dxa"/>
          <w:bottom w:w="15" w:type="dxa"/>
          <w:right w:w="15" w:type="dxa"/>
        </w:tblCellMar>
        <w:tblLook w:val="04A0"/>
      </w:tblPr>
      <w:tblGrid>
        <w:gridCol w:w="174"/>
        <w:gridCol w:w="212"/>
        <w:gridCol w:w="8776"/>
      </w:tblGrid>
      <w:tr w:rsidR="00592997" w:rsidRPr="00592997" w:rsidTr="00592997">
        <w:trPr>
          <w:tblCellSpacing w:w="15" w:type="dxa"/>
        </w:trPr>
        <w:tc>
          <w:tcPr>
            <w:tcW w:w="129" w:type="dxa"/>
            <w:vAlign w:val="center"/>
            <w:hideMark/>
          </w:tcPr>
          <w:p w:rsidR="00592997" w:rsidRPr="00592997" w:rsidRDefault="00592997" w:rsidP="00B3719A">
            <w:pPr>
              <w:rPr>
                <w:rFonts w:asciiTheme="minorHAnsi" w:hAnsiTheme="minorHAnsi"/>
                <w:sz w:val="20"/>
                <w:szCs w:val="20"/>
              </w:rPr>
            </w:pPr>
          </w:p>
        </w:tc>
        <w:tc>
          <w:tcPr>
            <w:tcW w:w="0" w:type="auto"/>
            <w:vAlign w:val="center"/>
            <w:hideMark/>
          </w:tcPr>
          <w:p w:rsidR="00592997" w:rsidRPr="00592997" w:rsidRDefault="00592997" w:rsidP="00B3719A">
            <w:pPr>
              <w:rPr>
                <w:rFonts w:asciiTheme="minorHAnsi" w:hAnsiTheme="minorHAnsi"/>
                <w:sz w:val="20"/>
                <w:szCs w:val="20"/>
              </w:rPr>
            </w:pPr>
            <w:r w:rsidRPr="00592997">
              <w:rPr>
                <w:rFonts w:asciiTheme="minorHAnsi" w:hAnsiTheme="minorHAnsi"/>
                <w:sz w:val="20"/>
                <w:szCs w:val="20"/>
              </w:rPr>
              <w:t xml:space="preserve">1. </w:t>
            </w:r>
          </w:p>
        </w:tc>
        <w:tc>
          <w:tcPr>
            <w:tcW w:w="0" w:type="auto"/>
            <w:vAlign w:val="center"/>
            <w:hideMark/>
          </w:tcPr>
          <w:p w:rsidR="00592997" w:rsidRPr="00592997" w:rsidRDefault="00592997" w:rsidP="00B3719A">
            <w:pPr>
              <w:rPr>
                <w:rFonts w:asciiTheme="minorHAnsi" w:hAnsiTheme="minorHAnsi"/>
                <w:sz w:val="20"/>
                <w:szCs w:val="20"/>
              </w:rPr>
            </w:pPr>
            <w:r w:rsidRPr="00592997">
              <w:rPr>
                <w:rFonts w:asciiTheme="minorHAnsi" w:hAnsiTheme="minorHAnsi"/>
                <w:sz w:val="20"/>
                <w:szCs w:val="20"/>
              </w:rPr>
              <w:t>sie gleichartig sind,</w:t>
            </w:r>
          </w:p>
        </w:tc>
      </w:tr>
      <w:tr w:rsidR="00592997" w:rsidRPr="00592997" w:rsidTr="00592997">
        <w:trPr>
          <w:tblCellSpacing w:w="15" w:type="dxa"/>
        </w:trPr>
        <w:tc>
          <w:tcPr>
            <w:tcW w:w="129" w:type="dxa"/>
            <w:vAlign w:val="center"/>
            <w:hideMark/>
          </w:tcPr>
          <w:p w:rsidR="00592997" w:rsidRPr="00592997" w:rsidRDefault="00592997" w:rsidP="00B3719A">
            <w:pPr>
              <w:rPr>
                <w:rFonts w:asciiTheme="minorHAnsi" w:hAnsiTheme="minorHAnsi"/>
                <w:sz w:val="20"/>
                <w:szCs w:val="20"/>
              </w:rPr>
            </w:pPr>
          </w:p>
        </w:tc>
        <w:tc>
          <w:tcPr>
            <w:tcW w:w="0" w:type="auto"/>
            <w:vAlign w:val="center"/>
            <w:hideMark/>
          </w:tcPr>
          <w:p w:rsidR="00592997" w:rsidRPr="00592997" w:rsidRDefault="00592997" w:rsidP="00B3719A">
            <w:pPr>
              <w:rPr>
                <w:rFonts w:asciiTheme="minorHAnsi" w:hAnsiTheme="minorHAnsi"/>
                <w:sz w:val="20"/>
                <w:szCs w:val="20"/>
              </w:rPr>
            </w:pPr>
            <w:r w:rsidRPr="00592997">
              <w:rPr>
                <w:rFonts w:asciiTheme="minorHAnsi" w:hAnsiTheme="minorHAnsi"/>
                <w:sz w:val="20"/>
                <w:szCs w:val="20"/>
              </w:rPr>
              <w:t xml:space="preserve">2. </w:t>
            </w:r>
          </w:p>
        </w:tc>
        <w:tc>
          <w:tcPr>
            <w:tcW w:w="0" w:type="auto"/>
            <w:vAlign w:val="center"/>
            <w:hideMark/>
          </w:tcPr>
          <w:p w:rsidR="00592997" w:rsidRPr="00592997" w:rsidRDefault="00592997" w:rsidP="00B3719A">
            <w:pPr>
              <w:rPr>
                <w:rFonts w:asciiTheme="minorHAnsi" w:hAnsiTheme="minorHAnsi"/>
                <w:sz w:val="20"/>
                <w:szCs w:val="20"/>
              </w:rPr>
            </w:pPr>
            <w:r w:rsidRPr="00592997">
              <w:rPr>
                <w:rFonts w:asciiTheme="minorHAnsi" w:hAnsiTheme="minorHAnsi"/>
                <w:sz w:val="20"/>
                <w:szCs w:val="20"/>
              </w:rPr>
              <w:t>zwischen ihnen nach dem Gesamtbild der tatsächlichen Verhältnisse objektiv eine enge wechselseitige technisch-wirtschaftliche Verflechtung von einigem Gewicht besteht oder</w:t>
            </w:r>
          </w:p>
        </w:tc>
      </w:tr>
      <w:tr w:rsidR="00592997" w:rsidRPr="00592997" w:rsidTr="00592997">
        <w:trPr>
          <w:tblCellSpacing w:w="15" w:type="dxa"/>
        </w:trPr>
        <w:tc>
          <w:tcPr>
            <w:tcW w:w="129" w:type="dxa"/>
            <w:vAlign w:val="center"/>
            <w:hideMark/>
          </w:tcPr>
          <w:p w:rsidR="00592997" w:rsidRPr="00592997" w:rsidRDefault="00592997" w:rsidP="00B3719A">
            <w:pPr>
              <w:rPr>
                <w:rFonts w:asciiTheme="minorHAnsi" w:hAnsiTheme="minorHAnsi"/>
                <w:sz w:val="20"/>
                <w:szCs w:val="20"/>
              </w:rPr>
            </w:pPr>
          </w:p>
        </w:tc>
        <w:tc>
          <w:tcPr>
            <w:tcW w:w="0" w:type="auto"/>
            <w:vAlign w:val="center"/>
            <w:hideMark/>
          </w:tcPr>
          <w:p w:rsidR="00592997" w:rsidRPr="00592997" w:rsidRDefault="00592997" w:rsidP="00B3719A">
            <w:pPr>
              <w:rPr>
                <w:rFonts w:asciiTheme="minorHAnsi" w:hAnsiTheme="minorHAnsi"/>
                <w:sz w:val="20"/>
                <w:szCs w:val="20"/>
              </w:rPr>
            </w:pPr>
            <w:r w:rsidRPr="00592997">
              <w:rPr>
                <w:rFonts w:asciiTheme="minorHAnsi" w:hAnsiTheme="minorHAnsi"/>
                <w:sz w:val="20"/>
                <w:szCs w:val="20"/>
              </w:rPr>
              <w:t xml:space="preserve">3. </w:t>
            </w:r>
          </w:p>
        </w:tc>
        <w:tc>
          <w:tcPr>
            <w:tcW w:w="0" w:type="auto"/>
            <w:vAlign w:val="center"/>
            <w:hideMark/>
          </w:tcPr>
          <w:p w:rsidR="00592997" w:rsidRPr="00592997" w:rsidRDefault="00592997" w:rsidP="00B3719A">
            <w:pPr>
              <w:rPr>
                <w:rFonts w:asciiTheme="minorHAnsi" w:hAnsiTheme="minorHAnsi"/>
                <w:sz w:val="20"/>
                <w:szCs w:val="20"/>
              </w:rPr>
            </w:pPr>
            <w:r w:rsidRPr="00592997">
              <w:rPr>
                <w:rFonts w:asciiTheme="minorHAnsi" w:hAnsiTheme="minorHAnsi"/>
                <w:sz w:val="20"/>
                <w:szCs w:val="20"/>
              </w:rPr>
              <w:t>Betriebe gewerblicher Art im Sinne des Absatzes 3 vorliegen.</w:t>
            </w:r>
          </w:p>
        </w:tc>
      </w:tr>
    </w:tbl>
    <w:p w:rsidR="00592997" w:rsidRPr="00592997" w:rsidRDefault="00592997" w:rsidP="00B3719A">
      <w:pPr>
        <w:pStyle w:val="StandardWeb"/>
        <w:spacing w:before="0" w:beforeAutospacing="0" w:after="0" w:afterAutospacing="0"/>
        <w:rPr>
          <w:rFonts w:asciiTheme="minorHAnsi" w:hAnsiTheme="minorHAnsi"/>
          <w:color w:val="FF0000"/>
          <w:sz w:val="20"/>
          <w:szCs w:val="20"/>
        </w:rPr>
      </w:pPr>
      <w:r w:rsidRPr="00592997">
        <w:rPr>
          <w:rFonts w:asciiTheme="minorHAnsi" w:hAnsiTheme="minorHAnsi"/>
          <w:color w:val="FF0000"/>
          <w:sz w:val="20"/>
          <w:szCs w:val="20"/>
        </w:rPr>
        <w:t xml:space="preserve">Ein Betrieb gewerblicher Art kann </w:t>
      </w:r>
      <w:r w:rsidRPr="00592997">
        <w:rPr>
          <w:rFonts w:asciiTheme="minorHAnsi" w:hAnsiTheme="minorHAnsi"/>
          <w:b/>
          <w:color w:val="FF0000"/>
          <w:sz w:val="20"/>
          <w:szCs w:val="20"/>
        </w:rPr>
        <w:t>nicht</w:t>
      </w:r>
      <w:r w:rsidRPr="00592997">
        <w:rPr>
          <w:rFonts w:asciiTheme="minorHAnsi" w:hAnsiTheme="minorHAnsi"/>
          <w:color w:val="FF0000"/>
          <w:sz w:val="20"/>
          <w:szCs w:val="20"/>
        </w:rPr>
        <w:t xml:space="preserve"> mit einem </w:t>
      </w:r>
      <w:r w:rsidRPr="00592997">
        <w:rPr>
          <w:rFonts w:asciiTheme="minorHAnsi" w:hAnsiTheme="minorHAnsi"/>
          <w:b/>
          <w:color w:val="FF0000"/>
          <w:sz w:val="20"/>
          <w:szCs w:val="20"/>
        </w:rPr>
        <w:t>Hoheitsbetrieb</w:t>
      </w:r>
      <w:r w:rsidRPr="00592997">
        <w:rPr>
          <w:rFonts w:asciiTheme="minorHAnsi" w:hAnsiTheme="minorHAnsi"/>
          <w:color w:val="FF0000"/>
          <w:sz w:val="20"/>
          <w:szCs w:val="20"/>
        </w:rPr>
        <w:t xml:space="preserve"> zusammengefasst werden.</w:t>
      </w:r>
    </w:p>
    <w:p w:rsidR="00B3719A" w:rsidRPr="00B3719A" w:rsidRDefault="00592997" w:rsidP="00B3719A">
      <w:pPr>
        <w:pStyle w:val="hinweistext"/>
        <w:spacing w:before="0" w:beforeAutospacing="0" w:after="0" w:afterAutospacing="0"/>
        <w:rPr>
          <w:rFonts w:asciiTheme="minorHAnsi" w:hAnsiTheme="minorHAnsi"/>
          <w:sz w:val="20"/>
          <w:szCs w:val="20"/>
        </w:rPr>
      </w:pPr>
      <w:r w:rsidRPr="00592997">
        <w:rPr>
          <w:rFonts w:asciiTheme="minorHAnsi" w:hAnsiTheme="minorHAnsi"/>
          <w:sz w:val="20"/>
          <w:szCs w:val="20"/>
        </w:rPr>
        <w:t xml:space="preserve">Fassung aufgrund des </w:t>
      </w:r>
      <w:r w:rsidRPr="00592997">
        <w:rPr>
          <w:rStyle w:val="ag"/>
          <w:rFonts w:asciiTheme="minorHAnsi" w:hAnsiTheme="minorHAnsi"/>
          <w:sz w:val="20"/>
          <w:szCs w:val="20"/>
        </w:rPr>
        <w:t>Jahressteuergesetzes 2009</w:t>
      </w:r>
      <w:r w:rsidRPr="00592997">
        <w:rPr>
          <w:rFonts w:asciiTheme="minorHAnsi" w:hAnsiTheme="minorHAnsi"/>
          <w:sz w:val="20"/>
          <w:szCs w:val="20"/>
        </w:rPr>
        <w:t xml:space="preserve"> vom 19.12.2008 (</w:t>
      </w:r>
      <w:proofErr w:type="spellStart"/>
      <w:r w:rsidR="00E85727" w:rsidRPr="00592997">
        <w:rPr>
          <w:rFonts w:asciiTheme="minorHAnsi" w:hAnsiTheme="minorHAnsi"/>
          <w:sz w:val="20"/>
          <w:szCs w:val="20"/>
        </w:rPr>
        <w:fldChar w:fldCharType="begin"/>
      </w:r>
      <w:r w:rsidRPr="00592997">
        <w:rPr>
          <w:rFonts w:asciiTheme="minorHAnsi" w:hAnsiTheme="minorHAnsi"/>
          <w:sz w:val="20"/>
          <w:szCs w:val="20"/>
        </w:rPr>
        <w:instrText xml:space="preserve"> HYPERLINK "https://dejure.org/dienste/internet?www.bgbl.de/banzxaver/bgbl/start.xav?startbk=Bundesanzeiger_BGBl&amp;start=//*%255B@attr_id=%27bgbl108s2794.pdf%27%255D" </w:instrText>
      </w:r>
      <w:r w:rsidR="00E85727" w:rsidRPr="00592997">
        <w:rPr>
          <w:rFonts w:asciiTheme="minorHAnsi" w:hAnsiTheme="minorHAnsi"/>
          <w:sz w:val="20"/>
          <w:szCs w:val="20"/>
        </w:rPr>
        <w:fldChar w:fldCharType="separate"/>
      </w:r>
      <w:r w:rsidRPr="00592997">
        <w:rPr>
          <w:rStyle w:val="Hyperlink"/>
          <w:rFonts w:asciiTheme="minorHAnsi" w:eastAsiaTheme="majorEastAsia" w:hAnsiTheme="minorHAnsi"/>
          <w:sz w:val="20"/>
          <w:szCs w:val="20"/>
        </w:rPr>
        <w:t>BGBl</w:t>
      </w:r>
      <w:proofErr w:type="spellEnd"/>
      <w:r w:rsidRPr="00592997">
        <w:rPr>
          <w:rStyle w:val="Hyperlink"/>
          <w:rFonts w:asciiTheme="minorHAnsi" w:eastAsiaTheme="majorEastAsia" w:hAnsiTheme="minorHAnsi"/>
          <w:sz w:val="20"/>
          <w:szCs w:val="20"/>
        </w:rPr>
        <w:t>. I S. 2794</w:t>
      </w:r>
      <w:r w:rsidR="00E85727" w:rsidRPr="00592997">
        <w:rPr>
          <w:rFonts w:asciiTheme="minorHAnsi" w:hAnsiTheme="minorHAnsi"/>
          <w:sz w:val="20"/>
          <w:szCs w:val="20"/>
        </w:rPr>
        <w:fldChar w:fldCharType="end"/>
      </w:r>
      <w:r w:rsidRPr="00592997">
        <w:rPr>
          <w:rFonts w:asciiTheme="minorHAnsi" w:hAnsiTheme="minorHAnsi"/>
          <w:sz w:val="20"/>
          <w:szCs w:val="20"/>
        </w:rPr>
        <w:t xml:space="preserve">) </w:t>
      </w:r>
      <w:proofErr w:type="spellStart"/>
      <w:r w:rsidRPr="00592997">
        <w:rPr>
          <w:rFonts w:asciiTheme="minorHAnsi" w:hAnsiTheme="minorHAnsi"/>
          <w:sz w:val="20"/>
          <w:szCs w:val="20"/>
        </w:rPr>
        <w:t>m.W.v</w:t>
      </w:r>
      <w:proofErr w:type="spellEnd"/>
      <w:r w:rsidRPr="00592997">
        <w:rPr>
          <w:rFonts w:asciiTheme="minorHAnsi" w:hAnsiTheme="minorHAnsi"/>
          <w:sz w:val="20"/>
          <w:szCs w:val="20"/>
        </w:rPr>
        <w:t>. 25.12.2008.</w:t>
      </w:r>
    </w:p>
    <w:p w:rsidR="00B3719A" w:rsidRDefault="00B3719A" w:rsidP="001C3F68">
      <w:pPr>
        <w:jc w:val="center"/>
      </w:pPr>
    </w:p>
    <w:p w:rsidR="00B3719A" w:rsidRDefault="00B3719A" w:rsidP="001C3F68">
      <w:pPr>
        <w:jc w:val="center"/>
      </w:pPr>
    </w:p>
    <w:p w:rsidR="00B3719A" w:rsidRDefault="00B3719A" w:rsidP="001C3F68">
      <w:pPr>
        <w:jc w:val="center"/>
      </w:pPr>
    </w:p>
    <w:p w:rsidR="00B3719A" w:rsidRDefault="00B3719A" w:rsidP="001C3F68">
      <w:pPr>
        <w:jc w:val="center"/>
      </w:pPr>
    </w:p>
    <w:p w:rsidR="00B3719A" w:rsidRDefault="00B3719A" w:rsidP="001C3F68">
      <w:pPr>
        <w:jc w:val="center"/>
      </w:pPr>
    </w:p>
    <w:p w:rsidR="00B3719A" w:rsidRDefault="00B3719A" w:rsidP="001C3F68">
      <w:pPr>
        <w:jc w:val="center"/>
      </w:pPr>
    </w:p>
    <w:p w:rsidR="00B3719A" w:rsidRDefault="00B3719A" w:rsidP="001C3F68">
      <w:pPr>
        <w:jc w:val="center"/>
      </w:pPr>
    </w:p>
    <w:p w:rsidR="00B3719A" w:rsidRDefault="00B3719A" w:rsidP="001C3F68">
      <w:pPr>
        <w:jc w:val="center"/>
      </w:pPr>
    </w:p>
    <w:p w:rsidR="00B3719A" w:rsidRDefault="00B3719A" w:rsidP="001C3F68">
      <w:pPr>
        <w:jc w:val="center"/>
      </w:pPr>
    </w:p>
    <w:p w:rsidR="00B3719A" w:rsidRDefault="00B3719A" w:rsidP="001C3F68">
      <w:pPr>
        <w:jc w:val="center"/>
      </w:pPr>
    </w:p>
    <w:p w:rsidR="006C39E3" w:rsidRDefault="006C39E3" w:rsidP="001C3F68">
      <w:pPr>
        <w:jc w:val="center"/>
      </w:pPr>
    </w:p>
    <w:p w:rsidR="00C209F9" w:rsidRDefault="00C209F9" w:rsidP="001C3F68">
      <w:pPr>
        <w:jc w:val="center"/>
      </w:pPr>
    </w:p>
    <w:p w:rsidR="001C3F68" w:rsidRDefault="00E85727" w:rsidP="001C3F68">
      <w:pPr>
        <w:pStyle w:val="berschrift2"/>
        <w:shd w:val="clear" w:color="auto" w:fill="FEFEFE"/>
        <w:spacing w:before="0"/>
        <w:jc w:val="center"/>
        <w:textAlignment w:val="baseline"/>
        <w:rPr>
          <w:color w:val="555555"/>
          <w:spacing w:val="2"/>
        </w:rPr>
      </w:pPr>
      <w:hyperlink r:id="rId11" w:history="1">
        <w:r w:rsidR="001C3F68">
          <w:rPr>
            <w:rStyle w:val="Hyperlink"/>
            <w:rFonts w:ascii="inherit" w:hAnsi="inherit"/>
            <w:spacing w:val="2"/>
            <w:bdr w:val="none" w:sz="0" w:space="0" w:color="auto" w:frame="1"/>
          </w:rPr>
          <w:t>OLG Stuttgart</w:t>
        </w:r>
      </w:hyperlink>
      <w:r w:rsidR="001C3F68">
        <w:rPr>
          <w:rStyle w:val="apple-converted-space"/>
          <w:color w:val="555555"/>
          <w:spacing w:val="2"/>
        </w:rPr>
        <w:t> </w:t>
      </w:r>
      <w:r w:rsidR="001C3F68">
        <w:rPr>
          <w:color w:val="555555"/>
          <w:spacing w:val="2"/>
        </w:rPr>
        <w:t xml:space="preserve">· Gerichtsbescheid vom 14. Februar 2008 · Az. 3 </w:t>
      </w:r>
      <w:proofErr w:type="spellStart"/>
      <w:r w:rsidR="001C3F68">
        <w:rPr>
          <w:color w:val="555555"/>
          <w:spacing w:val="2"/>
        </w:rPr>
        <w:t>Ausl</w:t>
      </w:r>
      <w:proofErr w:type="spellEnd"/>
      <w:r w:rsidR="001C3F68">
        <w:rPr>
          <w:color w:val="555555"/>
          <w:spacing w:val="2"/>
        </w:rPr>
        <w:t xml:space="preserve"> 69/07</w:t>
      </w:r>
    </w:p>
    <w:p w:rsidR="001C3F68" w:rsidRDefault="001C3F68"/>
    <w:p w:rsidR="001C3F68" w:rsidRDefault="00C209F9" w:rsidP="001C3F68">
      <w:pPr>
        <w:pStyle w:val="StandardWeb"/>
        <w:shd w:val="clear" w:color="auto" w:fill="FEFEFE"/>
        <w:spacing w:before="107" w:beforeAutospacing="0" w:after="107" w:afterAutospacing="0"/>
        <w:jc w:val="both"/>
        <w:textAlignment w:val="baseline"/>
        <w:rPr>
          <w:color w:val="555555"/>
          <w:spacing w:val="2"/>
        </w:rPr>
      </w:pPr>
      <w:r>
        <w:rPr>
          <w:rStyle w:val="apple-converted-space"/>
          <w:rFonts w:eastAsiaTheme="majorEastAsia"/>
          <w:color w:val="555555"/>
          <w:spacing w:val="2"/>
        </w:rPr>
        <w:t xml:space="preserve">… </w:t>
      </w:r>
      <w:r w:rsidR="001C3F68">
        <w:rPr>
          <w:color w:val="555555"/>
          <w:spacing w:val="2"/>
        </w:rPr>
        <w:t>wenn der Europäische Haftbefehl zur Vollstreckung einer Freiheitsstrafe oder einer freiheitsentziehenden Maßregel der Sicherung ausgestellt worden ist, sich die gesuchte Person im Vollstreckungsmitgliedstaat aufhält, dessen Staatsangehöriger ist oder dort ihren Wohnsitz hat und dieser Staat sich verpflichtet, die Strafe oder die Maßregel der Sicherung nach seinem innerstaatlichen Recht zu vollstrecken.</w:t>
      </w:r>
    </w:p>
    <w:p w:rsidR="001C3F68" w:rsidRDefault="001C3F68" w:rsidP="001C3F68">
      <w:pPr>
        <w:pStyle w:val="StandardWeb"/>
        <w:shd w:val="clear" w:color="auto" w:fill="FEFEFE"/>
        <w:spacing w:before="107" w:beforeAutospacing="0" w:after="107" w:afterAutospacing="0"/>
        <w:jc w:val="both"/>
        <w:textAlignment w:val="baseline"/>
        <w:rPr>
          <w:color w:val="555555"/>
          <w:spacing w:val="2"/>
        </w:rPr>
      </w:pPr>
      <w:r>
        <w:rPr>
          <w:color w:val="555555"/>
          <w:spacing w:val="2"/>
        </w:rPr>
        <w:t>Sinn und Zweck der Vorschrift ist es zu gewährleisten, dass eine Freiheitsstrafe dort vollstreckt wird, wo der Verurteilte lebt, um seine Resozialisierung und Reintegration nach Ende der Vollstreckung zu fördern.</w:t>
      </w:r>
    </w:p>
    <w:p w:rsidR="001C3F68" w:rsidRDefault="001C3F68" w:rsidP="001C3F68">
      <w:pPr>
        <w:pStyle w:val="StandardWeb"/>
        <w:shd w:val="clear" w:color="auto" w:fill="FEFEFE"/>
        <w:spacing w:before="107" w:beforeAutospacing="0" w:after="107" w:afterAutospacing="0"/>
        <w:jc w:val="both"/>
        <w:textAlignment w:val="baseline"/>
        <w:rPr>
          <w:color w:val="555555"/>
          <w:spacing w:val="2"/>
        </w:rPr>
      </w:pPr>
      <w:r>
        <w:rPr>
          <w:color w:val="555555"/>
          <w:spacing w:val="2"/>
        </w:rPr>
        <w:t xml:space="preserve">5. Der deutsche Gesetzgeber hat Art. 4 Nr. 6 </w:t>
      </w:r>
      <w:proofErr w:type="spellStart"/>
      <w:r>
        <w:rPr>
          <w:color w:val="555555"/>
          <w:spacing w:val="2"/>
        </w:rPr>
        <w:t>RbEuHb</w:t>
      </w:r>
      <w:proofErr w:type="spellEnd"/>
      <w:r>
        <w:rPr>
          <w:color w:val="555555"/>
          <w:spacing w:val="2"/>
        </w:rPr>
        <w:t xml:space="preserve"> für In- und Ausländer in unterschiedlicher Weise umgesetzt. Die Umsetzung für Ausländer unterscheidet nicht ausdrücklich zwischen Unionsbürgern und Drittstaatsangehörigen.</w:t>
      </w:r>
    </w:p>
    <w:p w:rsidR="001C3F68" w:rsidRDefault="001C3F68" w:rsidP="001C3F68">
      <w:pPr>
        <w:pStyle w:val="StandardWeb"/>
        <w:shd w:val="clear" w:color="auto" w:fill="FEFEFE"/>
        <w:spacing w:before="107" w:beforeAutospacing="0" w:after="107" w:afterAutospacing="0"/>
        <w:jc w:val="both"/>
        <w:textAlignment w:val="baseline"/>
        <w:rPr>
          <w:color w:val="555555"/>
          <w:spacing w:val="2"/>
        </w:rPr>
      </w:pPr>
      <w:r>
        <w:rPr>
          <w:color w:val="555555"/>
          <w:spacing w:val="2"/>
        </w:rPr>
        <w:t xml:space="preserve">6. Für </w:t>
      </w:r>
      <w:r w:rsidRPr="00C209F9">
        <w:rPr>
          <w:b/>
          <w:color w:val="555555"/>
          <w:spacing w:val="2"/>
        </w:rPr>
        <w:t>deutsche Staatsangehörige</w:t>
      </w:r>
      <w:r>
        <w:rPr>
          <w:color w:val="555555"/>
          <w:spacing w:val="2"/>
        </w:rPr>
        <w:t xml:space="preserve"> gilt § 80 Abs. 3 Gesetz vom 23. Dezember 1982 über die internationale Rechtshilfe in Strafsachen (IRG) in der Fassung des Europäischen Haftbefehlsgesetzes vom 20. Juli 2006 (</w:t>
      </w:r>
      <w:proofErr w:type="spellStart"/>
      <w:r>
        <w:rPr>
          <w:color w:val="555555"/>
          <w:spacing w:val="2"/>
        </w:rPr>
        <w:t>BGBl</w:t>
      </w:r>
      <w:proofErr w:type="spellEnd"/>
      <w:r>
        <w:rPr>
          <w:color w:val="555555"/>
          <w:spacing w:val="2"/>
        </w:rPr>
        <w:t xml:space="preserve">. 2006 I S. 1721 - </w:t>
      </w:r>
      <w:proofErr w:type="spellStart"/>
      <w:r>
        <w:rPr>
          <w:color w:val="555555"/>
          <w:spacing w:val="2"/>
        </w:rPr>
        <w:t>EuHbG</w:t>
      </w:r>
      <w:proofErr w:type="spellEnd"/>
      <w:r>
        <w:rPr>
          <w:color w:val="555555"/>
          <w:spacing w:val="2"/>
        </w:rPr>
        <w:t>). Die Vorschrift lautet:</w:t>
      </w:r>
    </w:p>
    <w:p w:rsidR="001C3F68" w:rsidRPr="006C39E3" w:rsidRDefault="001C3F68" w:rsidP="001C3F68">
      <w:pPr>
        <w:pStyle w:val="StandardWeb"/>
        <w:shd w:val="clear" w:color="auto" w:fill="FEFEFE"/>
        <w:spacing w:before="107" w:beforeAutospacing="0" w:after="107" w:afterAutospacing="0"/>
        <w:jc w:val="both"/>
        <w:textAlignment w:val="baseline"/>
        <w:rPr>
          <w:color w:val="FF0000"/>
          <w:spacing w:val="2"/>
        </w:rPr>
      </w:pPr>
      <w:r w:rsidRPr="006C39E3">
        <w:rPr>
          <w:color w:val="FF0000"/>
          <w:spacing w:val="2"/>
        </w:rPr>
        <w:noBreakHyphen/>
        <w:t xml:space="preserve">§ 80. </w:t>
      </w:r>
      <w:r w:rsidRPr="006C39E3">
        <w:rPr>
          <w:b/>
          <w:color w:val="FF0000"/>
          <w:spacing w:val="2"/>
        </w:rPr>
        <w:t>Auslieferung deutscher Staatsangehöriger</w:t>
      </w:r>
    </w:p>
    <w:p w:rsidR="001C3F68" w:rsidRDefault="001C3F68" w:rsidP="001C3F68">
      <w:pPr>
        <w:pStyle w:val="StandardWeb"/>
        <w:shd w:val="clear" w:color="auto" w:fill="FEFEFE"/>
        <w:spacing w:before="107" w:beforeAutospacing="0" w:after="107" w:afterAutospacing="0"/>
        <w:jc w:val="both"/>
        <w:textAlignment w:val="baseline"/>
        <w:rPr>
          <w:color w:val="555555"/>
          <w:spacing w:val="2"/>
        </w:rPr>
      </w:pPr>
    </w:p>
    <w:p w:rsidR="006C39E3" w:rsidRDefault="001C3F68" w:rsidP="006C39E3">
      <w:pPr>
        <w:pStyle w:val="StandardWeb"/>
        <w:numPr>
          <w:ilvl w:val="0"/>
          <w:numId w:val="2"/>
        </w:numPr>
        <w:shd w:val="clear" w:color="auto" w:fill="FEFEFE"/>
        <w:spacing w:before="107" w:beforeAutospacing="0" w:after="107" w:afterAutospacing="0"/>
        <w:jc w:val="both"/>
        <w:textAlignment w:val="baseline"/>
        <w:rPr>
          <w:color w:val="555555"/>
          <w:spacing w:val="2"/>
        </w:rPr>
      </w:pPr>
      <w:r w:rsidRPr="006C39E3">
        <w:rPr>
          <w:b/>
          <w:color w:val="FF0000"/>
          <w:spacing w:val="2"/>
        </w:rPr>
        <w:t>Die Auslieferung eines Deutschen zum Zweck der Strafvollstreckung ist nur zulässig, wenn der Verfolgte nach Belehrung zu richterlichem Protokoll zustimmt</w:t>
      </w:r>
      <w:r w:rsidRPr="006C39E3">
        <w:rPr>
          <w:color w:val="FF0000"/>
          <w:spacing w:val="2"/>
        </w:rPr>
        <w:t>.</w:t>
      </w:r>
    </w:p>
    <w:p w:rsidR="00C209F9" w:rsidRDefault="00C209F9" w:rsidP="00C209F9">
      <w:pPr>
        <w:pStyle w:val="StandardWeb"/>
        <w:shd w:val="clear" w:color="auto" w:fill="FEFEFE"/>
        <w:spacing w:before="107" w:beforeAutospacing="0" w:after="107" w:afterAutospacing="0"/>
        <w:jc w:val="both"/>
        <w:textAlignment w:val="baseline"/>
        <w:rPr>
          <w:color w:val="555555"/>
          <w:spacing w:val="2"/>
        </w:rPr>
      </w:pPr>
      <w:r>
        <w:rPr>
          <w:color w:val="555555"/>
          <w:spacing w:val="2"/>
        </w:rPr>
        <w:t>Fehlt es an dieser Zustimmung, so muss das Oberlandesgericht die Auslieferung für unzulässig erklären.</w:t>
      </w:r>
    </w:p>
    <w:p w:rsidR="001C3F68" w:rsidRDefault="001C3F68"/>
    <w:sectPr w:rsidR="001C3F68" w:rsidSect="00075D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71C63"/>
    <w:multiLevelType w:val="hybridMultilevel"/>
    <w:tmpl w:val="7C3C849C"/>
    <w:lvl w:ilvl="0" w:tplc="04070015">
      <w:start w:val="1"/>
      <w:numFmt w:val="decimal"/>
      <w:lvlText w:val="(%1)"/>
      <w:lvlJc w:val="left"/>
      <w:pPr>
        <w:ind w:left="720"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6B47545"/>
    <w:multiLevelType w:val="hybridMultilevel"/>
    <w:tmpl w:val="D2B28A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82478"/>
    <w:rsid w:val="00075D88"/>
    <w:rsid w:val="00090DCA"/>
    <w:rsid w:val="00185108"/>
    <w:rsid w:val="001C3F68"/>
    <w:rsid w:val="00347A69"/>
    <w:rsid w:val="00592997"/>
    <w:rsid w:val="006C39E3"/>
    <w:rsid w:val="00982478"/>
    <w:rsid w:val="00B3719A"/>
    <w:rsid w:val="00C209F9"/>
    <w:rsid w:val="00DF059B"/>
    <w:rsid w:val="00E8572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98247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berschrift2">
    <w:name w:val="heading 2"/>
    <w:basedOn w:val="Standard"/>
    <w:next w:val="Standard"/>
    <w:link w:val="berschrift2Zchn"/>
    <w:uiPriority w:val="9"/>
    <w:semiHidden/>
    <w:unhideWhenUsed/>
    <w:qFormat/>
    <w:rsid w:val="00982478"/>
    <w:pPr>
      <w:keepNext/>
      <w:keepLines/>
      <w:suppressAutoHyphens w:val="0"/>
      <w:autoSpaceDN/>
      <w:spacing w:before="200" w:line="276" w:lineRule="auto"/>
      <w:textAlignment w:val="auto"/>
      <w:outlineLvl w:val="1"/>
    </w:pPr>
    <w:rPr>
      <w:rFonts w:asciiTheme="majorHAnsi" w:eastAsiaTheme="majorEastAsia" w:hAnsiTheme="majorHAnsi" w:cstheme="majorBidi"/>
      <w:b/>
      <w:bCs/>
      <w:color w:val="4F81BD" w:themeColor="accent1"/>
      <w:kern w:val="0"/>
      <w:sz w:val="26"/>
      <w:szCs w:val="26"/>
      <w:lang w:eastAsia="en-US"/>
    </w:rPr>
  </w:style>
  <w:style w:type="paragraph" w:styleId="berschrift3">
    <w:name w:val="heading 3"/>
    <w:basedOn w:val="Standard"/>
    <w:next w:val="Standard"/>
    <w:link w:val="berschrift3Zchn"/>
    <w:uiPriority w:val="9"/>
    <w:semiHidden/>
    <w:unhideWhenUsed/>
    <w:qFormat/>
    <w:rsid w:val="00982478"/>
    <w:pPr>
      <w:keepNext/>
      <w:keepLines/>
      <w:suppressAutoHyphens w:val="0"/>
      <w:autoSpaceDN/>
      <w:spacing w:before="200" w:line="276" w:lineRule="auto"/>
      <w:textAlignment w:val="auto"/>
      <w:outlineLvl w:val="2"/>
    </w:pPr>
    <w:rPr>
      <w:rFonts w:asciiTheme="majorHAnsi" w:eastAsiaTheme="majorEastAsia" w:hAnsiTheme="majorHAnsi" w:cstheme="majorBidi"/>
      <w:b/>
      <w:bCs/>
      <w:color w:val="4F81BD" w:themeColor="accent1"/>
      <w:kern w:val="0"/>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98247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82478"/>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982478"/>
    <w:rPr>
      <w:color w:val="0000FF" w:themeColor="hyperlink"/>
      <w:u w:val="single"/>
    </w:rPr>
  </w:style>
  <w:style w:type="paragraph" w:styleId="StandardWeb">
    <w:name w:val="Normal (Web)"/>
    <w:basedOn w:val="Standard"/>
    <w:uiPriority w:val="99"/>
    <w:unhideWhenUsed/>
    <w:rsid w:val="00982478"/>
    <w:pPr>
      <w:suppressAutoHyphens w:val="0"/>
      <w:autoSpaceDN/>
      <w:spacing w:before="100" w:beforeAutospacing="1" w:after="100" w:afterAutospacing="1"/>
      <w:textAlignment w:val="auto"/>
    </w:pPr>
    <w:rPr>
      <w:kern w:val="0"/>
      <w:lang w:eastAsia="de-DE"/>
    </w:rPr>
  </w:style>
  <w:style w:type="character" w:customStyle="1" w:styleId="apple-converted-space">
    <w:name w:val="apple-converted-space"/>
    <w:basedOn w:val="Absatz-Standardschriftart"/>
    <w:rsid w:val="001C3F68"/>
  </w:style>
  <w:style w:type="paragraph" w:customStyle="1" w:styleId="hinweistext">
    <w:name w:val="hinweistext"/>
    <w:basedOn w:val="Standard"/>
    <w:rsid w:val="00592997"/>
    <w:pPr>
      <w:suppressAutoHyphens w:val="0"/>
      <w:autoSpaceDN/>
      <w:spacing w:before="100" w:beforeAutospacing="1" w:after="100" w:afterAutospacing="1"/>
      <w:textAlignment w:val="auto"/>
    </w:pPr>
    <w:rPr>
      <w:kern w:val="0"/>
      <w:lang w:eastAsia="de-DE"/>
    </w:rPr>
  </w:style>
  <w:style w:type="character" w:customStyle="1" w:styleId="ag">
    <w:name w:val="ag"/>
    <w:basedOn w:val="Absatz-Standardschriftart"/>
    <w:rsid w:val="00592997"/>
  </w:style>
</w:styles>
</file>

<file path=word/webSettings.xml><?xml version="1.0" encoding="utf-8"?>
<w:webSettings xmlns:r="http://schemas.openxmlformats.org/officeDocument/2006/relationships" xmlns:w="http://schemas.openxmlformats.org/wordprocessingml/2006/main">
  <w:divs>
    <w:div w:id="601183710">
      <w:bodyDiv w:val="1"/>
      <w:marLeft w:val="0"/>
      <w:marRight w:val="0"/>
      <w:marTop w:val="0"/>
      <w:marBottom w:val="0"/>
      <w:divBdr>
        <w:top w:val="none" w:sz="0" w:space="0" w:color="auto"/>
        <w:left w:val="none" w:sz="0" w:space="0" w:color="auto"/>
        <w:bottom w:val="none" w:sz="0" w:space="0" w:color="auto"/>
        <w:right w:val="none" w:sz="0" w:space="0" w:color="auto"/>
      </w:divBdr>
    </w:div>
    <w:div w:id="1083794653">
      <w:bodyDiv w:val="1"/>
      <w:marLeft w:val="0"/>
      <w:marRight w:val="0"/>
      <w:marTop w:val="0"/>
      <w:marBottom w:val="0"/>
      <w:divBdr>
        <w:top w:val="none" w:sz="0" w:space="0" w:color="auto"/>
        <w:left w:val="none" w:sz="0" w:space="0" w:color="auto"/>
        <w:bottom w:val="none" w:sz="0" w:space="0" w:color="auto"/>
        <w:right w:val="none" w:sz="0" w:space="0" w:color="auto"/>
      </w:divBdr>
      <w:divsChild>
        <w:div w:id="543097800">
          <w:marLeft w:val="0"/>
          <w:marRight w:val="0"/>
          <w:marTop w:val="0"/>
          <w:marBottom w:val="0"/>
          <w:divBdr>
            <w:top w:val="none" w:sz="0" w:space="0" w:color="auto"/>
            <w:left w:val="none" w:sz="0" w:space="0" w:color="auto"/>
            <w:bottom w:val="none" w:sz="0" w:space="0" w:color="auto"/>
            <w:right w:val="none" w:sz="0" w:space="0" w:color="auto"/>
          </w:divBdr>
        </w:div>
        <w:div w:id="1219586337">
          <w:marLeft w:val="0"/>
          <w:marRight w:val="0"/>
          <w:marTop w:val="0"/>
          <w:marBottom w:val="0"/>
          <w:divBdr>
            <w:top w:val="none" w:sz="0" w:space="0" w:color="auto"/>
            <w:left w:val="none" w:sz="0" w:space="0" w:color="auto"/>
            <w:bottom w:val="none" w:sz="0" w:space="0" w:color="auto"/>
            <w:right w:val="none" w:sz="0" w:space="0" w:color="auto"/>
          </w:divBdr>
          <w:divsChild>
            <w:div w:id="208764691">
              <w:marLeft w:val="0"/>
              <w:marRight w:val="0"/>
              <w:marTop w:val="0"/>
              <w:marBottom w:val="0"/>
              <w:divBdr>
                <w:top w:val="none" w:sz="0" w:space="0" w:color="auto"/>
                <w:left w:val="none" w:sz="0" w:space="0" w:color="auto"/>
                <w:bottom w:val="none" w:sz="0" w:space="0" w:color="auto"/>
                <w:right w:val="none" w:sz="0" w:space="0" w:color="auto"/>
              </w:divBdr>
            </w:div>
            <w:div w:id="5466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4288">
      <w:bodyDiv w:val="1"/>
      <w:marLeft w:val="0"/>
      <w:marRight w:val="0"/>
      <w:marTop w:val="0"/>
      <w:marBottom w:val="0"/>
      <w:divBdr>
        <w:top w:val="none" w:sz="0" w:space="0" w:color="auto"/>
        <w:left w:val="none" w:sz="0" w:space="0" w:color="auto"/>
        <w:bottom w:val="none" w:sz="0" w:space="0" w:color="auto"/>
        <w:right w:val="none" w:sz="0" w:space="0" w:color="auto"/>
      </w:divBdr>
      <w:divsChild>
        <w:div w:id="1915238976">
          <w:marLeft w:val="0"/>
          <w:marRight w:val="0"/>
          <w:marTop w:val="0"/>
          <w:marBottom w:val="0"/>
          <w:divBdr>
            <w:top w:val="none" w:sz="0" w:space="0" w:color="auto"/>
            <w:left w:val="none" w:sz="0" w:space="0" w:color="auto"/>
            <w:bottom w:val="none" w:sz="0" w:space="0" w:color="auto"/>
            <w:right w:val="none" w:sz="0" w:space="0" w:color="auto"/>
          </w:divBdr>
        </w:div>
        <w:div w:id="922762663">
          <w:marLeft w:val="0"/>
          <w:marRight w:val="0"/>
          <w:marTop w:val="0"/>
          <w:marBottom w:val="0"/>
          <w:divBdr>
            <w:top w:val="none" w:sz="0" w:space="0" w:color="auto"/>
            <w:left w:val="none" w:sz="0" w:space="0" w:color="auto"/>
            <w:bottom w:val="none" w:sz="0" w:space="0" w:color="auto"/>
            <w:right w:val="none" w:sz="0" w:space="0" w:color="auto"/>
          </w:divBdr>
        </w:div>
      </w:divsChild>
    </w:div>
    <w:div w:id="1163350674">
      <w:bodyDiv w:val="1"/>
      <w:marLeft w:val="0"/>
      <w:marRight w:val="0"/>
      <w:marTop w:val="0"/>
      <w:marBottom w:val="0"/>
      <w:divBdr>
        <w:top w:val="none" w:sz="0" w:space="0" w:color="auto"/>
        <w:left w:val="none" w:sz="0" w:space="0" w:color="auto"/>
        <w:bottom w:val="none" w:sz="0" w:space="0" w:color="auto"/>
        <w:right w:val="none" w:sz="0" w:space="0" w:color="auto"/>
      </w:divBdr>
      <w:divsChild>
        <w:div w:id="1289697925">
          <w:marLeft w:val="0"/>
          <w:marRight w:val="0"/>
          <w:marTop w:val="0"/>
          <w:marBottom w:val="0"/>
          <w:divBdr>
            <w:top w:val="none" w:sz="0" w:space="0" w:color="auto"/>
            <w:left w:val="none" w:sz="0" w:space="0" w:color="auto"/>
            <w:bottom w:val="none" w:sz="0" w:space="0" w:color="auto"/>
            <w:right w:val="none" w:sz="0" w:space="0" w:color="auto"/>
          </w:divBdr>
        </w:div>
        <w:div w:id="1504129306">
          <w:marLeft w:val="0"/>
          <w:marRight w:val="0"/>
          <w:marTop w:val="0"/>
          <w:marBottom w:val="0"/>
          <w:divBdr>
            <w:top w:val="none" w:sz="0" w:space="0" w:color="auto"/>
            <w:left w:val="none" w:sz="0" w:space="0" w:color="auto"/>
            <w:bottom w:val="none" w:sz="0" w:space="0" w:color="auto"/>
            <w:right w:val="none" w:sz="0" w:space="0" w:color="auto"/>
          </w:divBdr>
          <w:divsChild>
            <w:div w:id="429159751">
              <w:marLeft w:val="0"/>
              <w:marRight w:val="0"/>
              <w:marTop w:val="0"/>
              <w:marBottom w:val="0"/>
              <w:divBdr>
                <w:top w:val="none" w:sz="0" w:space="0" w:color="auto"/>
                <w:left w:val="none" w:sz="0" w:space="0" w:color="auto"/>
                <w:bottom w:val="none" w:sz="0" w:space="0" w:color="auto"/>
                <w:right w:val="none" w:sz="0" w:space="0" w:color="auto"/>
              </w:divBdr>
            </w:div>
            <w:div w:id="14334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3955">
      <w:bodyDiv w:val="1"/>
      <w:marLeft w:val="0"/>
      <w:marRight w:val="0"/>
      <w:marTop w:val="0"/>
      <w:marBottom w:val="0"/>
      <w:divBdr>
        <w:top w:val="none" w:sz="0" w:space="0" w:color="auto"/>
        <w:left w:val="none" w:sz="0" w:space="0" w:color="auto"/>
        <w:bottom w:val="none" w:sz="0" w:space="0" w:color="auto"/>
        <w:right w:val="none" w:sz="0" w:space="0" w:color="auto"/>
      </w:divBdr>
    </w:div>
    <w:div w:id="14527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jure.org/gesetze/KSt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jure.org/gesetze/G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jure.org/gesetze/EGBGB" TargetMode="External"/><Relationship Id="rId11" Type="http://schemas.openxmlformats.org/officeDocument/2006/relationships/hyperlink" Target="http://openjur.de/gericht-55.html" TargetMode="External"/><Relationship Id="rId5" Type="http://schemas.openxmlformats.org/officeDocument/2006/relationships/hyperlink" Target="http://dejure.org/gesetze/EGBGB" TargetMode="External"/><Relationship Id="rId10" Type="http://schemas.openxmlformats.org/officeDocument/2006/relationships/hyperlink" Target="https://dejure.org/gesetze/KStG/6.html" TargetMode="External"/><Relationship Id="rId4" Type="http://schemas.openxmlformats.org/officeDocument/2006/relationships/webSettings" Target="webSettings.xml"/><Relationship Id="rId9" Type="http://schemas.openxmlformats.org/officeDocument/2006/relationships/hyperlink" Target="https://dejure.org/gesetze/KStG/1.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2015-04-15T18:59:00Z</cp:lastPrinted>
  <dcterms:created xsi:type="dcterms:W3CDTF">2015-04-15T18:55:00Z</dcterms:created>
  <dcterms:modified xsi:type="dcterms:W3CDTF">2015-07-02T16:02:00Z</dcterms:modified>
</cp:coreProperties>
</file>